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5"/>
        <w:spacing w:line="560" w:lineRule="exact"/>
        <w:ind w:firstLine="0" w:firstLineChars="0"/>
        <w:rPr>
          <w:rStyle w:val="8"/>
          <w:rFonts w:hint="eastAsia" w:ascii="黑体" w:hAnsi="黑体" w:eastAsia="黑体" w:cs="宋体"/>
          <w:b w:val="0"/>
          <w:color w:val="000000"/>
          <w:kern w:val="0"/>
          <w:sz w:val="32"/>
          <w:szCs w:val="32"/>
          <w:shd w:val="clear" w:color="auto" w:fill="FFFFFF"/>
          <w:lang w:eastAsia="zh-CN" w:bidi="ar"/>
        </w:rPr>
      </w:pPr>
      <w:r>
        <w:rPr>
          <w:rStyle w:val="8"/>
          <w:rFonts w:hint="eastAsia" w:ascii="黑体" w:hAnsi="黑体" w:eastAsia="黑体" w:cs="宋体"/>
          <w:b w:val="0"/>
          <w:color w:val="000000"/>
          <w:kern w:val="0"/>
          <w:sz w:val="32"/>
          <w:szCs w:val="32"/>
          <w:shd w:val="clear" w:color="auto" w:fill="FFFFFF"/>
          <w:lang w:eastAsia="zh-CN" w:bidi="ar"/>
        </w:rPr>
        <w:t>附件3</w:t>
      </w:r>
      <w:bookmarkStart w:id="0" w:name="_GoBack"/>
      <w:bookmarkEnd w:id="0"/>
    </w:p>
    <w:p>
      <w:pPr>
        <w:pStyle w:val="4"/>
        <w:widowControl/>
        <w:shd w:val="clear" w:color="auto" w:fill="FFFFFF"/>
        <w:spacing w:before="0" w:beforeAutospacing="0" w:after="0" w:afterAutospacing="0" w:line="560" w:lineRule="exact"/>
        <w:jc w:val="center"/>
        <w:rPr>
          <w:rFonts w:hint="eastAsia" w:ascii="Times New Roman" w:hAnsi="Times New Roman" w:eastAsia="方正小标宋_GBK"/>
          <w:color w:val="000000"/>
          <w:kern w:val="2"/>
          <w:sz w:val="36"/>
          <w:szCs w:val="36"/>
        </w:rPr>
      </w:pPr>
      <w:r>
        <w:rPr>
          <w:rFonts w:hint="eastAsia" w:ascii="Times New Roman" w:hAnsi="Times New Roman" w:eastAsia="方正小标宋_GBK"/>
          <w:color w:val="000000"/>
          <w:kern w:val="2"/>
          <w:sz w:val="36"/>
          <w:szCs w:val="36"/>
        </w:rPr>
        <w:t>江苏高校百校万名团干部思政技能大比武</w:t>
      </w:r>
    </w:p>
    <w:p>
      <w:pPr>
        <w:jc w:val="center"/>
        <w:rPr>
          <w:rFonts w:ascii="Times New Roman" w:hAnsi="Times New Roman" w:eastAsia="方正小标宋_GBK"/>
          <w:color w:val="000000"/>
          <w:sz w:val="36"/>
          <w:szCs w:val="36"/>
        </w:rPr>
      </w:pPr>
      <w:r>
        <w:rPr>
          <w:rFonts w:hint="eastAsia" w:ascii="Times New Roman" w:hAnsi="Times New Roman" w:eastAsia="方正小标宋_GBK"/>
          <w:color w:val="000000"/>
          <w:sz w:val="36"/>
          <w:szCs w:val="36"/>
        </w:rPr>
        <w:t>专职团干部专项赛评审标准</w:t>
      </w:r>
    </w:p>
    <w:p>
      <w:pPr>
        <w:adjustRightInd w:val="0"/>
        <w:snapToGrid w:val="0"/>
        <w:spacing w:before="156" w:beforeLines="50" w:after="156" w:afterLines="50" w:line="560" w:lineRule="exact"/>
        <w:ind w:firstLine="640" w:firstLineChars="200"/>
        <w:rPr>
          <w:rFonts w:hint="eastAsia" w:ascii="方正黑体_GBK" w:hAnsi="黑体" w:eastAsia="方正黑体_GBK" w:cs="Century"/>
          <w:sz w:val="32"/>
          <w:szCs w:val="32"/>
        </w:rPr>
      </w:pPr>
      <w:r>
        <w:rPr>
          <w:rFonts w:hint="eastAsia" w:ascii="方正黑体_GBK" w:hAnsi="黑体" w:eastAsia="方正黑体_GBK" w:cs="Century"/>
          <w:sz w:val="32"/>
          <w:szCs w:val="32"/>
        </w:rPr>
        <w:t>一、思政课评审标准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1455"/>
        <w:gridCol w:w="709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655" w:hRule="atLeast"/>
          <w:tblHeader/>
          <w:jc w:val="center"/>
        </w:trPr>
        <w:tc>
          <w:tcPr>
            <w:tcW w:w="1455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评审内容</w:t>
            </w:r>
          </w:p>
        </w:tc>
        <w:tc>
          <w:tcPr>
            <w:tcW w:w="7095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420" w:lineRule="exact"/>
              <w:jc w:val="center"/>
              <w:rPr>
                <w:rFonts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评审要求（共100分）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85" w:hRule="atLeast"/>
          <w:jc w:val="center"/>
        </w:trPr>
        <w:tc>
          <w:tcPr>
            <w:tcW w:w="1455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宣讲主题</w:t>
            </w:r>
          </w:p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（25分）</w:t>
            </w:r>
          </w:p>
        </w:tc>
        <w:tc>
          <w:tcPr>
            <w:tcW w:w="7095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560" w:lineRule="exact"/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  <w:t>主题鲜明，导向正确。能正确运用马克思主义的立场、观点和方法，帮助团员解决思想问题，特别是理想、信念、宗旨、作风等方面的问题，形成向上向善的积极导向。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024" w:hRule="atLeast"/>
          <w:jc w:val="center"/>
        </w:trPr>
        <w:tc>
          <w:tcPr>
            <w:tcW w:w="1455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宣讲内容</w:t>
            </w:r>
          </w:p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（40分）</w:t>
            </w:r>
          </w:p>
        </w:tc>
        <w:tc>
          <w:tcPr>
            <w:tcW w:w="7095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560" w:lineRule="exact"/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  <w:t>内容丰富，逻辑清晰。能紧扣思政课主题设计内容，结构严谨，主线明晰，观点准确，内容丰富，衔接顺畅，素材选用得当，有一定的信息量，语言贴合青年特点，能够将政治思想转化为青年语言，符合团课内容要求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788" w:hRule="atLeast"/>
          <w:jc w:val="center"/>
        </w:trPr>
        <w:tc>
          <w:tcPr>
            <w:tcW w:w="1455" w:type="dxa"/>
            <w:noWrap w:val="0"/>
            <w:vAlign w:val="center"/>
          </w:tcPr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宣讲形式</w:t>
            </w:r>
          </w:p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（15分）</w:t>
            </w:r>
          </w:p>
        </w:tc>
        <w:tc>
          <w:tcPr>
            <w:tcW w:w="7095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560" w:lineRule="exact"/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  <w:t>形象生动，引人入胜。能紧扣思政课主题和内容设计讲授形式，有较好的讲授技巧，善于将“大道理”转化为团员青年易于接受的“小道理”，口头表达清晰准确流利，仪态端庄大方，表情和肢体语言得体，感情饱满有感染力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503" w:hRule="atLeast"/>
          <w:jc w:val="center"/>
        </w:trPr>
        <w:tc>
          <w:tcPr>
            <w:tcW w:w="1455" w:type="dxa"/>
            <w:noWrap w:val="0"/>
            <w:vAlign w:val="center"/>
          </w:tcPr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宣讲效果</w:t>
            </w:r>
          </w:p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（20分）</w:t>
            </w:r>
          </w:p>
        </w:tc>
        <w:tc>
          <w:tcPr>
            <w:tcW w:w="7095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560" w:lineRule="exact"/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  <w:t>目标明确、达到预期。能结合团员青年身心特点，培养团员意识，增强对党、团组织的理解和认同，共鸣感强，宣讲效果好。</w:t>
            </w:r>
          </w:p>
        </w:tc>
      </w:tr>
    </w:tbl>
    <w:p>
      <w:pPr>
        <w:adjustRightInd w:val="0"/>
        <w:snapToGrid w:val="0"/>
        <w:spacing w:before="156" w:beforeLines="50" w:after="156" w:afterLines="50" w:line="560" w:lineRule="exact"/>
        <w:rPr>
          <w:rFonts w:hint="eastAsia" w:ascii="方正黑体_GBK" w:hAnsi="黑体" w:eastAsia="方正黑体_GBK" w:cs="Century"/>
          <w:sz w:val="32"/>
          <w:szCs w:val="32"/>
        </w:rPr>
      </w:pPr>
    </w:p>
    <w:p>
      <w:pPr>
        <w:adjustRightInd w:val="0"/>
        <w:snapToGrid w:val="0"/>
        <w:spacing w:before="156" w:beforeLines="50" w:after="156" w:afterLines="50" w:line="560" w:lineRule="exact"/>
        <w:ind w:firstLine="640" w:firstLineChars="200"/>
        <w:rPr>
          <w:rFonts w:hint="eastAsia" w:ascii="方正黑体_GBK" w:hAnsi="黑体" w:eastAsia="方正黑体_GBK" w:cs="Century"/>
          <w:sz w:val="32"/>
          <w:szCs w:val="32"/>
        </w:rPr>
      </w:pPr>
      <w:r>
        <w:rPr>
          <w:rFonts w:hint="eastAsia" w:ascii="方正黑体_GBK" w:hAnsi="黑体" w:eastAsia="方正黑体_GBK" w:cs="Century"/>
          <w:sz w:val="32"/>
          <w:szCs w:val="32"/>
        </w:rPr>
        <w:t>二、思政文章评审标准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1514"/>
        <w:gridCol w:w="688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49" w:hRule="atLeast"/>
          <w:tblHeader/>
          <w:jc w:val="center"/>
        </w:trPr>
        <w:tc>
          <w:tcPr>
            <w:tcW w:w="1514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评审内容</w:t>
            </w:r>
          </w:p>
        </w:tc>
        <w:tc>
          <w:tcPr>
            <w:tcW w:w="6884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评审要求（共100分）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70" w:hRule="atLeast"/>
          <w:jc w:val="center"/>
        </w:trPr>
        <w:tc>
          <w:tcPr>
            <w:tcW w:w="1514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标题深刻</w:t>
            </w:r>
          </w:p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观点鲜明</w:t>
            </w:r>
          </w:p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（10分）</w:t>
            </w:r>
          </w:p>
        </w:tc>
        <w:tc>
          <w:tcPr>
            <w:tcW w:w="6884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560" w:lineRule="exact"/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  <w:t>标题立意深刻，集中凝练；观点鲜明新颖，简洁明了。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480" w:hRule="atLeast"/>
          <w:jc w:val="center"/>
        </w:trPr>
        <w:tc>
          <w:tcPr>
            <w:tcW w:w="1514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政治方向正确，理论问题阐释精准</w:t>
            </w:r>
          </w:p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（40分）</w:t>
            </w:r>
          </w:p>
        </w:tc>
        <w:tc>
          <w:tcPr>
            <w:tcW w:w="6884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560" w:lineRule="exact"/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  <w:t>体现政治高度，准确阐释题目的概念与内涵，善于运用历史逻辑、现实逻辑等阐述逻辑和国内外比较等阐述方法，把“是什么”“为什么”“怎么做”论清楚、讲透彻。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249" w:hRule="atLeast"/>
          <w:jc w:val="center"/>
        </w:trPr>
        <w:tc>
          <w:tcPr>
            <w:tcW w:w="1514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把握青年特点，育人效果好</w:t>
            </w:r>
          </w:p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（25分）</w:t>
            </w:r>
          </w:p>
        </w:tc>
        <w:tc>
          <w:tcPr>
            <w:tcW w:w="6884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560" w:lineRule="exact"/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  <w:t>紧扣青年学生的心理特点、成长规律、知识结构，有效运用表达方式，引起学生共鸣，有较强说服力。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9" w:hRule="atLeast"/>
          <w:jc w:val="center"/>
        </w:trPr>
        <w:tc>
          <w:tcPr>
            <w:tcW w:w="1514" w:type="dxa"/>
            <w:noWrap w:val="0"/>
            <w:vAlign w:val="center"/>
          </w:tcPr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逻辑清晰</w:t>
            </w:r>
          </w:p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论说有力</w:t>
            </w:r>
          </w:p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针对性强</w:t>
            </w:r>
          </w:p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（25分）</w:t>
            </w:r>
          </w:p>
        </w:tc>
        <w:tc>
          <w:tcPr>
            <w:tcW w:w="6884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560" w:lineRule="exact"/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  <w:t>论点论据逻辑严密，条理清晰，能有效融入思想政治教育相关要素。</w:t>
            </w:r>
          </w:p>
        </w:tc>
      </w:tr>
    </w:tbl>
    <w:p>
      <w:pPr>
        <w:pStyle w:val="4"/>
        <w:spacing w:before="0" w:beforeAutospacing="0" w:after="0" w:afterAutospacing="0" w:line="560" w:lineRule="exact"/>
        <w:jc w:val="both"/>
        <w:rPr>
          <w:rFonts w:ascii="方正黑体_GBK" w:hAnsi="楷体_GB2312" w:eastAsia="方正黑体_GBK" w:cs="楷体_GB2312"/>
          <w:b/>
          <w:bCs/>
          <w:sz w:val="32"/>
          <w:szCs w:val="32"/>
        </w:rPr>
      </w:pPr>
    </w:p>
    <w:p>
      <w:pPr>
        <w:pStyle w:val="4"/>
        <w:spacing w:before="0" w:beforeAutospacing="0" w:after="0" w:afterAutospacing="0" w:line="560" w:lineRule="exact"/>
        <w:jc w:val="both"/>
        <w:rPr>
          <w:rFonts w:ascii="方正黑体_GBK" w:hAnsi="楷体_GB2312" w:eastAsia="方正黑体_GBK" w:cs="楷体_GB2312"/>
          <w:b/>
          <w:bCs/>
          <w:sz w:val="32"/>
          <w:szCs w:val="32"/>
        </w:rPr>
      </w:pPr>
    </w:p>
    <w:p>
      <w:pPr>
        <w:pStyle w:val="4"/>
        <w:spacing w:before="0" w:beforeAutospacing="0" w:after="0" w:afterAutospacing="0" w:line="560" w:lineRule="exact"/>
        <w:jc w:val="both"/>
        <w:rPr>
          <w:rFonts w:ascii="方正黑体_GBK" w:hAnsi="楷体_GB2312" w:eastAsia="方正黑体_GBK" w:cs="楷体_GB2312"/>
          <w:b/>
          <w:bCs/>
          <w:sz w:val="32"/>
          <w:szCs w:val="32"/>
        </w:rPr>
      </w:pPr>
    </w:p>
    <w:p>
      <w:pPr>
        <w:pStyle w:val="4"/>
        <w:spacing w:before="0" w:beforeAutospacing="0" w:after="0" w:afterAutospacing="0" w:line="560" w:lineRule="exact"/>
        <w:jc w:val="both"/>
        <w:rPr>
          <w:rFonts w:ascii="方正黑体_GBK" w:hAnsi="楷体_GB2312" w:eastAsia="方正黑体_GBK" w:cs="楷体_GB2312"/>
          <w:b/>
          <w:bCs/>
          <w:sz w:val="32"/>
          <w:szCs w:val="32"/>
        </w:rPr>
      </w:pPr>
    </w:p>
    <w:p>
      <w:pPr>
        <w:pStyle w:val="4"/>
        <w:spacing w:before="0" w:beforeAutospacing="0" w:after="0" w:afterAutospacing="0" w:line="560" w:lineRule="exact"/>
        <w:jc w:val="both"/>
        <w:rPr>
          <w:rFonts w:ascii="方正黑体_GBK" w:hAnsi="楷体_GB2312" w:eastAsia="方正黑体_GBK" w:cs="楷体_GB2312"/>
          <w:b/>
          <w:bCs/>
          <w:sz w:val="32"/>
          <w:szCs w:val="32"/>
        </w:rPr>
      </w:pPr>
    </w:p>
    <w:p>
      <w:pPr>
        <w:pStyle w:val="4"/>
        <w:spacing w:before="0" w:beforeAutospacing="0" w:after="0" w:afterAutospacing="0" w:line="560" w:lineRule="exact"/>
        <w:jc w:val="both"/>
        <w:rPr>
          <w:rFonts w:ascii="方正黑体_GBK" w:hAnsi="楷体_GB2312" w:eastAsia="方正黑体_GBK" w:cs="楷体_GB2312"/>
          <w:b/>
          <w:bCs/>
          <w:sz w:val="32"/>
          <w:szCs w:val="32"/>
        </w:rPr>
      </w:pPr>
    </w:p>
    <w:p>
      <w:pPr>
        <w:adjustRightInd w:val="0"/>
        <w:snapToGrid w:val="0"/>
        <w:spacing w:before="156" w:beforeLines="50" w:after="156" w:afterLines="50" w:line="560" w:lineRule="exact"/>
        <w:ind w:firstLine="640" w:firstLineChars="200"/>
        <w:rPr>
          <w:rFonts w:hint="eastAsia" w:ascii="方正黑体_GBK" w:hAnsi="黑体" w:eastAsia="方正黑体_GBK" w:cs="Century"/>
          <w:sz w:val="32"/>
          <w:szCs w:val="32"/>
        </w:rPr>
      </w:pPr>
      <w:r>
        <w:rPr>
          <w:rFonts w:hint="eastAsia" w:ascii="方正黑体_GBK" w:hAnsi="黑体" w:eastAsia="方正黑体_GBK" w:cs="Century"/>
          <w:sz w:val="32"/>
          <w:szCs w:val="32"/>
        </w:rPr>
        <w:t>三、案例分析评审标准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1773"/>
        <w:gridCol w:w="658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49" w:hRule="atLeast"/>
          <w:tblHeader/>
          <w:jc w:val="center"/>
        </w:trPr>
        <w:tc>
          <w:tcPr>
            <w:tcW w:w="1773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评审内容</w:t>
            </w:r>
          </w:p>
        </w:tc>
        <w:tc>
          <w:tcPr>
            <w:tcW w:w="6581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评审要求（共100分）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480" w:hRule="atLeast"/>
          <w:jc w:val="center"/>
        </w:trPr>
        <w:tc>
          <w:tcPr>
            <w:tcW w:w="1773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案例陈述</w:t>
            </w:r>
          </w:p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（20分）</w:t>
            </w:r>
          </w:p>
        </w:tc>
        <w:tc>
          <w:tcPr>
            <w:tcW w:w="6581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560" w:lineRule="exact"/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  <w:t>案例事实的陈述简洁明了，问题原因分析准确，结构严谨，主线明晰，观点准确，内容丰富，衔接顺畅，背景素材选用得当。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480" w:hRule="atLeast"/>
          <w:jc w:val="center"/>
        </w:trPr>
        <w:tc>
          <w:tcPr>
            <w:tcW w:w="1773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政治方向正确，理论问题阐释精准</w:t>
            </w:r>
          </w:p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（40分）</w:t>
            </w:r>
          </w:p>
        </w:tc>
        <w:tc>
          <w:tcPr>
            <w:tcW w:w="6581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560" w:lineRule="exact"/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  <w:t>体现政治高度，准确阐释案例涉及的理论概念与内涵，善于运用历史逻辑、现实逻辑等阐述逻辑和国内外比较等阐述方法，把“是什么”“为什么”“怎么做”论清楚、讲透彻。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9" w:hRule="atLeast"/>
          <w:jc w:val="center"/>
        </w:trPr>
        <w:tc>
          <w:tcPr>
            <w:tcW w:w="1773" w:type="dxa"/>
            <w:noWrap w:val="0"/>
            <w:vAlign w:val="center"/>
          </w:tcPr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逻辑清晰</w:t>
            </w:r>
          </w:p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论说有力</w:t>
            </w:r>
          </w:p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针对性强</w:t>
            </w:r>
          </w:p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（20分）</w:t>
            </w:r>
          </w:p>
        </w:tc>
        <w:tc>
          <w:tcPr>
            <w:tcW w:w="6581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560" w:lineRule="exact"/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  <w:t>对策的提出和实施合理、可行，分析论点论据逻辑严密，条理清晰，能有效融入思想政治教育相关要素。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688" w:hRule="atLeast"/>
          <w:jc w:val="center"/>
        </w:trPr>
        <w:tc>
          <w:tcPr>
            <w:tcW w:w="1773" w:type="dxa"/>
            <w:noWrap w:val="0"/>
            <w:vAlign w:val="center"/>
          </w:tcPr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形态得体</w:t>
            </w:r>
          </w:p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感染力强</w:t>
            </w:r>
          </w:p>
          <w:p>
            <w:pPr>
              <w:widowControl/>
              <w:spacing w:line="420" w:lineRule="exact"/>
              <w:jc w:val="center"/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方正仿宋_GBK"/>
                <w:b/>
                <w:bCs/>
                <w:color w:val="000000"/>
                <w:kern w:val="0"/>
                <w:sz w:val="28"/>
                <w:szCs w:val="28"/>
              </w:rPr>
              <w:t>（20分）</w:t>
            </w:r>
          </w:p>
        </w:tc>
        <w:tc>
          <w:tcPr>
            <w:tcW w:w="6581" w:type="dxa"/>
            <w:noWrap w:val="0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widowControl/>
              <w:spacing w:line="560" w:lineRule="exact"/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方正仿宋_GBK" w:hAnsi="仿宋_GB2312" w:eastAsia="方正仿宋_GBK" w:cs="仿宋_GB2312"/>
                <w:color w:val="000000"/>
                <w:kern w:val="0"/>
                <w:sz w:val="28"/>
                <w:szCs w:val="28"/>
              </w:rPr>
              <w:t>举止大方自然，口齿清晰，表达流畅，语言生动形象，感悟真挚，感染力较强。</w:t>
            </w:r>
          </w:p>
        </w:tc>
      </w:tr>
    </w:tbl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06A859C9-B469-4CC2-8B87-39B8E1BAD46F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1D7E6D1D-5199-451A-B991-494EBE8AD0C2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9E5D3DFC-5459-4EDB-99E6-6F0C1A023E9E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30DEDF86-1A67-4A2F-AF6F-869A5E66261F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11B541DB-F3BB-418D-A48B-4BA6237CDBB8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C7470579-7417-4EBD-B8B3-90F106CCCE1C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  <w:embedRegular r:id="rId7" w:fontKey="{633346E4-679B-4B06-B843-2F29FA0E2DB5}"/>
  </w:font>
  <w:font w:name="方正小标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8" w:fontKey="{59D3E707-5D0E-4D49-9F25-2420827927EB}"/>
  </w:font>
  <w:font w:name="方正黑体_GBK">
    <w:panose1 w:val="03000509000000000000"/>
    <w:charset w:val="86"/>
    <w:family w:val="script"/>
    <w:pitch w:val="default"/>
    <w:sig w:usb0="00000000" w:usb1="00000000" w:usb2="00000000" w:usb3="00000000" w:csb0="00000000" w:csb1="00000000"/>
    <w:embedRegular r:id="rId9" w:fontKey="{4FE7482D-DD1E-4471-BDA9-373EABC109F2}"/>
  </w:font>
  <w:font w:name="Century">
    <w:panose1 w:val="02040604050505020304"/>
    <w:charset w:val="00"/>
    <w:family w:val="roman"/>
    <w:pitch w:val="default"/>
    <w:sig w:usb0="00000287" w:usb1="00000000" w:usb2="00000000" w:usb3="00000000" w:csb0="2000009F" w:csb1="DFD70000"/>
    <w:embedRegular r:id="rId10" w:fontKey="{F89D9F19-D79F-47AA-83E1-045343654AA3}"/>
  </w:font>
  <w:font w:name="Times New Roman Regular">
    <w:altName w:val="Times New Roman"/>
    <w:panose1 w:val="02020603050004020304"/>
    <w:charset w:val="00"/>
    <w:family w:val="auto"/>
    <w:pitch w:val="default"/>
    <w:sig w:usb0="00000000" w:usb1="00000000" w:usb2="00000009" w:usb3="00000000" w:csb0="400001FF" w:csb1="FFFF0000"/>
    <w:embedRegular r:id="rId11" w:fontKey="{29FD6B7F-1880-40DC-8283-E3C6E0695474}"/>
  </w:font>
  <w:font w:name="仿宋_GB2312">
    <w:panose1 w:val="02010609030101010101"/>
    <w:charset w:val="86"/>
    <w:family w:val="modern"/>
    <w:pitch w:val="default"/>
    <w:sig w:usb0="00000000" w:usb1="00000000" w:usb2="00000000" w:usb3="00000000" w:csb0="00000000" w:csb1="00000000"/>
    <w:embedRegular r:id="rId12" w:fontKey="{DEEBDEE5-B222-42CA-B59E-428BC5A88826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仿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13" w:fontKey="{4B92B032-1DB4-4BFE-991F-4FBEA9079FC5}"/>
  </w:font>
  <w:font w:name="方正楷体简体">
    <w:altName w:val="宋体"/>
    <w:panose1 w:val="03000509000000000000"/>
    <w:charset w:val="86"/>
    <w:family w:val="script"/>
    <w:pitch w:val="default"/>
    <w:sig w:usb0="00000000" w:usb1="00000000" w:usb2="00000000" w:usb3="00000000" w:csb0="00040001" w:csb1="00000000"/>
  </w:font>
  <w:font w:name="楷体_GB2312">
    <w:altName w:val="楷体"/>
    <w:panose1 w:val="02010609030101010101"/>
    <w:charset w:val="86"/>
    <w:family w:val="modern"/>
    <w:pitch w:val="default"/>
    <w:sig w:usb0="00000000" w:usb1="00000000" w:usb2="00000010" w:usb3="00000000" w:csb0="00040000" w:csb1="00000000"/>
    <w:embedRegular r:id="rId14" w:fontKey="{88FFC01C-1832-4ACD-93A4-C2C9452283CA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D8463A6"/>
    <w:rsid w:val="1D0941DE"/>
    <w:rsid w:val="2DE213AF"/>
    <w:rsid w:val="498F7AC0"/>
    <w:rsid w:val="4D8463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等线" w:hAnsi="等线" w:eastAsia="等线" w:cs="等线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100" w:beforeAutospacing="1" w:after="10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7">
    <w:name w:val="Default Paragraph Font"/>
    <w:semiHidden/>
    <w:uiPriority w:val="0"/>
  </w:style>
  <w:style w:type="table" w:default="1" w:styleId="6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 Indent"/>
    <w:basedOn w:val="1"/>
    <w:uiPriority w:val="0"/>
    <w:pPr>
      <w:ind w:firstLine="200" w:firstLineChars="200"/>
    </w:pPr>
    <w:rPr>
      <w:rFonts w:eastAsia="仿宋_GB2312"/>
      <w:sz w:val="32"/>
    </w:rPr>
  </w:style>
  <w:style w:type="paragraph" w:styleId="4">
    <w:name w:val="Normal (Web)"/>
    <w:basedOn w:val="1"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5">
    <w:name w:val="Body Text First Indent 2"/>
    <w:basedOn w:val="3"/>
    <w:qFormat/>
    <w:uiPriority w:val="0"/>
    <w:pPr>
      <w:ind w:firstLine="420"/>
    </w:pPr>
  </w:style>
  <w:style w:type="character" w:styleId="8">
    <w:name w:val="Strong"/>
    <w:qFormat/>
    <w:uiPriority w:val="0"/>
    <w:rPr>
      <w:rFonts w:ascii="Verdana" w:hAnsi="Verdana" w:cs="Times New Roman"/>
      <w:b/>
      <w:bCs/>
      <w:sz w:val="20"/>
      <w:szCs w:val="20"/>
      <w:lang w:eastAsia="en-US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3723</Words>
  <Characters>3788</Characters>
  <Lines>0</Lines>
  <Paragraphs>0</Paragraphs>
  <TotalTime>1</TotalTime>
  <ScaleCrop>false</ScaleCrop>
  <LinksUpToDate>false</LinksUpToDate>
  <CharactersWithSpaces>3814</CharactersWithSpaces>
  <Application>WPS Office_11.1.0.10578_F1E327BC-269C-435d-A152-05C5408002CA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2021-06-29T04:07:00Z</dcterms:created>
  <dc:creator>团委-宋哲娴</dc:creator>
  <cp:lastModifiedBy>团委-宋哲娴</cp:lastModifiedBy>
  <dcterms:modified xsi:type="dcterms:W3CDTF">2021-06-30T03:28:02Z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2052-11.1.0.10578</vt:lpwstr>
  </property>
  <property fmtid="{D5CDD505-2E9C-101B-9397-08002B2CF9AE}" pid="3" name="ICV">
    <vt:lpwstr>571DC3C38C5247A3B628E95983C9366A</vt:lpwstr>
  </property>
  <property fmtid="{D5CDD505-2E9C-101B-9397-08002B2CF9AE}" pid="4" name="KSOSaveFontToCloudKey">
    <vt:lpwstr>1145144059_embed</vt:lpwstr>
  </property>
</Properties>
</file>