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918" w:rsidRDefault="00B55918" w:rsidP="00B55918">
      <w:pPr>
        <w:pStyle w:val="a9"/>
        <w:widowControl w:val="0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aa"/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附件4</w:t>
      </w:r>
    </w:p>
    <w:p w:rsidR="00B55918" w:rsidRDefault="00B55918" w:rsidP="00B55918">
      <w:pPr>
        <w:pStyle w:val="2"/>
        <w:spacing w:line="560" w:lineRule="exact"/>
        <w:ind w:firstLineChars="0" w:firstLine="0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江苏高校百校万名</w:t>
      </w:r>
      <w:proofErr w:type="gramStart"/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团干部思政技能</w:t>
      </w:r>
      <w:proofErr w:type="gramEnd"/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大比武</w:t>
      </w:r>
    </w:p>
    <w:p w:rsidR="00B55918" w:rsidRDefault="00B55918" w:rsidP="00B55918">
      <w:pPr>
        <w:pStyle w:val="2"/>
        <w:spacing w:line="560" w:lineRule="exact"/>
        <w:ind w:firstLineChars="0" w:firstLine="0"/>
        <w:jc w:val="center"/>
        <w:rPr>
          <w:rFonts w:ascii="Times New Roman" w:eastAsia="方正小标宋_GBK" w:hAnsi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hint="eastAsia"/>
          <w:color w:val="000000"/>
          <w:sz w:val="36"/>
          <w:szCs w:val="36"/>
        </w:rPr>
        <w:t>兼挂职团干部、青年教师专项赛评审标准</w:t>
      </w:r>
    </w:p>
    <w:p w:rsidR="00B55918" w:rsidRDefault="00B55918" w:rsidP="00B55918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一、</w:t>
      </w:r>
      <w:proofErr w:type="gramStart"/>
      <w:r>
        <w:rPr>
          <w:rFonts w:ascii="方正黑体_GBK" w:eastAsia="方正黑体_GBK" w:hAnsi="黑体" w:hint="eastAsia"/>
          <w:sz w:val="32"/>
          <w:szCs w:val="32"/>
        </w:rPr>
        <w:t>思政课</w:t>
      </w:r>
      <w:proofErr w:type="gramEnd"/>
      <w:r>
        <w:rPr>
          <w:rFonts w:ascii="方正黑体_GBK" w:eastAsia="方正黑体_GBK" w:hAnsi="黑体" w:hint="eastAsia"/>
          <w:sz w:val="32"/>
          <w:szCs w:val="32"/>
        </w:rPr>
        <w:t>评审标准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6804"/>
      </w:tblGrid>
      <w:tr w:rsidR="00B55918" w:rsidTr="00E04F68">
        <w:trPr>
          <w:trHeight w:val="20"/>
          <w:tblHeader/>
          <w:jc w:val="center"/>
        </w:trPr>
        <w:tc>
          <w:tcPr>
            <w:tcW w:w="19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8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评审要求（共</w:t>
            </w: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分）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19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宣讲主题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主题鲜明，导向正确。能正确运用马克思主义的立场、观点和方法，帮助团员解决思想问题，特别是理想、信念、宗旨、作风等方面的问题，形成向上向善的积极导向。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19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宣讲内容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内容丰富，逻辑清晰。能紧扣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思政课主题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设计内容，结构严谨，主线明晰，观点准确，内容丰富，衔接顺畅，素材选用得当，有一定的信息量，语言贴合青年特点，能够将政治思想转化为青年语言，符合团课内容要求。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1980" w:type="dxa"/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宣讲形式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形象生动，引入入胜。能紧扣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思政课主题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和内容设计讲授形式，有较好的讲授技巧，善于将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大道理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转化为团员青年易于接受的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小道理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，口头表达清晰准确流利，仪态端庄大方，表情和肢体语言得体，感情饱满有感染力。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1980" w:type="dxa"/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宣讲效果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8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Times New Roman" w:eastAsia="方正仿宋_GBK" w:hAnsi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目标明确、达到预期。能结合团员青年身心特点，培养团员意识，增强对党、团组织的理解和认同，共鸣感强，宣讲效果好。</w:t>
            </w:r>
          </w:p>
        </w:tc>
      </w:tr>
    </w:tbl>
    <w:p w:rsidR="00B55918" w:rsidRDefault="00B55918" w:rsidP="00B55918">
      <w:pPr>
        <w:spacing w:line="560" w:lineRule="exact"/>
        <w:ind w:firstLineChars="200" w:firstLine="640"/>
        <w:rPr>
          <w:rFonts w:ascii="方正黑体_GBK" w:eastAsia="方正黑体_GBK" w:hAnsi="黑体"/>
          <w:sz w:val="32"/>
          <w:szCs w:val="32"/>
        </w:rPr>
        <w:sectPr w:rsidR="00B55918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55918" w:rsidRDefault="00B55918" w:rsidP="00B55918">
      <w:pPr>
        <w:spacing w:beforeLines="50" w:before="156" w:afterLines="50" w:after="156" w:line="56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lastRenderedPageBreak/>
        <w:t>二、工作案例推介评审标准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380"/>
      </w:tblGrid>
      <w:tr w:rsidR="00B55918" w:rsidTr="00E04F68">
        <w:trPr>
          <w:trHeight w:val="20"/>
          <w:tblHeader/>
          <w:jc w:val="center"/>
        </w:trPr>
        <w:tc>
          <w:tcPr>
            <w:tcW w:w="24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楷体_GB2312" w:cs="楷体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楷体_GB2312" w:cs="楷体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楷体_GB2312" w:cs="楷体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楷体_GB2312" w:cs="楷体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评审要求（共</w:t>
            </w:r>
            <w:r>
              <w:rPr>
                <w:rFonts w:ascii="方正楷体_GBK" w:eastAsia="方正楷体_GBK" w:hAnsi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100</w:t>
            </w:r>
            <w:r>
              <w:rPr>
                <w:rFonts w:ascii="方正楷体_GBK" w:eastAsia="方正楷体_GBK" w:hAnsi="楷体_GB2312" w:cs="楷体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分）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24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楷体_GB2312" w:cs="楷体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楷体_GB2312" w:cs="楷体_GB2312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政治方向正确，主题明确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楷体_GB2312" w:cs="楷体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sz w:val="28"/>
                <w:szCs w:val="28"/>
              </w:rPr>
              <w:t>40</w:t>
            </w: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6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pStyle w:val="a9"/>
              <w:widowControl w:val="0"/>
              <w:spacing w:before="0" w:beforeAutospacing="0" w:after="0" w:afterAutospacing="0" w:line="560" w:lineRule="exact"/>
              <w:jc w:val="both"/>
              <w:rPr>
                <w:rFonts w:ascii="方正仿宋_GBK" w:eastAsia="方正仿宋_GBK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sz w:val="28"/>
                <w:szCs w:val="28"/>
              </w:rPr>
              <w:t>选取工作案例政治立场鲜明正确。围绕“三力一度”，阐述发挥专业特长，参与支持共青团相关工作案例，包括工作思路、开展情况、工作成效、工作启示等。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240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把握青年特点，育人效果好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sz w:val="28"/>
                <w:szCs w:val="28"/>
              </w:rPr>
              <w:t>25</w:t>
            </w: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sz w:val="28"/>
                <w:szCs w:val="28"/>
              </w:rPr>
              <w:t>分）</w:t>
            </w:r>
          </w:p>
        </w:tc>
        <w:tc>
          <w:tcPr>
            <w:tcW w:w="6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pStyle w:val="a9"/>
              <w:widowControl w:val="0"/>
              <w:spacing w:before="0" w:beforeAutospacing="0" w:after="0" w:afterAutospacing="0" w:line="560" w:lineRule="exact"/>
              <w:jc w:val="both"/>
              <w:rPr>
                <w:rFonts w:ascii="方正仿宋_GBK" w:eastAsia="方正仿宋_GBK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color w:val="000000"/>
                <w:sz w:val="28"/>
                <w:szCs w:val="28"/>
              </w:rPr>
              <w:t>紧扣青年学生的心理特点、成长规律、知识结构，有效运用表达方式，引起学生共鸣，有较强说服力。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2404" w:type="dxa"/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逻辑清晰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论说有力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针对性强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推介过程逻辑严密，条理清晰，能有效融入思想政治教育相关要素。能体现思考问题、分析问题、</w:t>
            </w:r>
            <w:proofErr w:type="gramStart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判问题、解决问题的能力。</w:t>
            </w:r>
          </w:p>
        </w:tc>
      </w:tr>
      <w:tr w:rsidR="00B55918" w:rsidTr="00E04F68">
        <w:trPr>
          <w:trHeight w:val="20"/>
          <w:jc w:val="center"/>
        </w:trPr>
        <w:tc>
          <w:tcPr>
            <w:tcW w:w="2404" w:type="dxa"/>
            <w:vAlign w:val="center"/>
          </w:tcPr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形态得体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方正楷体_GBK" w:eastAsia="方正楷体_GBK" w:hAnsi="Century" w:cs="Century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Century" w:cs="Century" w:hint="eastAsia"/>
                <w:b/>
                <w:bCs/>
                <w:sz w:val="28"/>
                <w:szCs w:val="28"/>
              </w:rPr>
              <w:t>感染力强</w:t>
            </w:r>
          </w:p>
          <w:p w:rsidR="00B55918" w:rsidRDefault="00B55918" w:rsidP="00E04F68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方正楷体_GBK" w:eastAsia="方正楷体_GBK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6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55918" w:rsidRDefault="00B55918" w:rsidP="00E04F68">
            <w:pPr>
              <w:widowControl/>
              <w:spacing w:line="560" w:lineRule="exact"/>
              <w:rPr>
                <w:rFonts w:ascii="仿宋_GB2312" w:eastAsia="方正仿宋_GBK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t>举止大方自然，口齿清晰，表达流畅，语言生动形象，感悟真挚，感染力强，使听众增强对党团组织的理解和认同，有良好的育人成效。</w:t>
            </w:r>
          </w:p>
        </w:tc>
      </w:tr>
    </w:tbl>
    <w:p w:rsidR="00B55918" w:rsidRDefault="00B55918" w:rsidP="00B55918">
      <w:pPr>
        <w:rPr>
          <w:rStyle w:val="aa"/>
          <w:rFonts w:ascii="黑体" w:eastAsia="黑体" w:hAnsi="黑体"/>
          <w:b w:val="0"/>
          <w:color w:val="000000"/>
          <w:kern w:val="0"/>
          <w:sz w:val="32"/>
          <w:szCs w:val="32"/>
          <w:shd w:val="clear" w:color="auto" w:fill="FFFFFF"/>
        </w:rPr>
      </w:pPr>
    </w:p>
    <w:p w:rsidR="003512B7" w:rsidRPr="0062254E" w:rsidRDefault="003512B7" w:rsidP="0062254E">
      <w:pPr>
        <w:widowControl/>
        <w:jc w:val="left"/>
        <w:rPr>
          <w:rFonts w:ascii="黑体" w:eastAsia="黑体" w:hAnsi="黑体" w:hint="eastAsia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3512B7" w:rsidRPr="0062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DA" w:rsidRDefault="006225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AF6DCC" wp14:editId="3513DA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7BDA" w:rsidRDefault="0062254E">
                          <w:pPr>
                            <w:snapToGrid w:val="0"/>
                            <w:rPr>
                              <w:rFonts w:ascii="Times New Roman" w:hAnsi="Times New Roman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  <w:p w:rsidR="00767BDA" w:rsidRDefault="006225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F6DC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7BDA" w:rsidRDefault="0062254E">
                    <w:pPr>
                      <w:snapToGrid w:val="0"/>
                      <w:rPr>
                        <w:rFonts w:ascii="Times New Roman" w:hAnsi="Times New Roman"/>
                        <w:sz w:val="20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2"/>
                        <w:szCs w:val="4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32"/>
                        <w:szCs w:val="48"/>
                      </w:rPr>
                      <w:fldChar w:fldCharType="end"/>
                    </w:r>
                  </w:p>
                  <w:p w:rsidR="00767BDA" w:rsidRDefault="006225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DA" w:rsidRDefault="0062254E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18"/>
    <w:rsid w:val="003512B7"/>
    <w:rsid w:val="0062254E"/>
    <w:rsid w:val="00B5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02EA"/>
  <w15:chartTrackingRefBased/>
  <w15:docId w15:val="{C195F3EC-AC04-4B39-AC47-C4751E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9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55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55918"/>
    <w:rPr>
      <w:sz w:val="18"/>
      <w:szCs w:val="18"/>
    </w:rPr>
  </w:style>
  <w:style w:type="paragraph" w:styleId="a5">
    <w:name w:val="Body Text Indent"/>
    <w:basedOn w:val="a"/>
    <w:link w:val="a6"/>
    <w:uiPriority w:val="99"/>
    <w:semiHidden/>
    <w:unhideWhenUsed/>
    <w:rsid w:val="00B55918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B55918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0"/>
    <w:qFormat/>
    <w:rsid w:val="00B55918"/>
    <w:pPr>
      <w:spacing w:after="0"/>
      <w:ind w:leftChars="0" w:left="0" w:firstLineChars="200" w:firstLine="420"/>
    </w:pPr>
    <w:rPr>
      <w:rFonts w:asciiTheme="minorHAnsi" w:eastAsia="仿宋_GB2312" w:hAnsiTheme="minorHAnsi" w:cstheme="minorBidi"/>
      <w:sz w:val="32"/>
      <w:szCs w:val="22"/>
    </w:rPr>
  </w:style>
  <w:style w:type="character" w:customStyle="1" w:styleId="20">
    <w:name w:val="正文文本首行缩进 2 字符"/>
    <w:basedOn w:val="a6"/>
    <w:link w:val="2"/>
    <w:qFormat/>
    <w:rsid w:val="00B55918"/>
    <w:rPr>
      <w:rFonts w:ascii="Calibri" w:eastAsia="仿宋_GB2312" w:hAnsi="Calibri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qFormat/>
    <w:rsid w:val="00B5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5918"/>
    <w:rPr>
      <w:sz w:val="18"/>
      <w:szCs w:val="18"/>
    </w:rPr>
  </w:style>
  <w:style w:type="paragraph" w:styleId="a9">
    <w:name w:val="Normal (Web)"/>
    <w:basedOn w:val="a"/>
    <w:qFormat/>
    <w:rsid w:val="00B55918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  <w:szCs w:val="22"/>
    </w:rPr>
  </w:style>
  <w:style w:type="character" w:styleId="aa">
    <w:name w:val="Strong"/>
    <w:basedOn w:val="a0"/>
    <w:qFormat/>
    <w:rsid w:val="00B559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2021-06-29T11:43:00Z</dcterms:created>
  <dcterms:modified xsi:type="dcterms:W3CDTF">2021-06-29T11:53:00Z</dcterms:modified>
</cp:coreProperties>
</file>